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A7E5D" w14:textId="77777777" w:rsidR="00917216" w:rsidRDefault="00000000">
      <w:pPr>
        <w:pStyle w:val="Overskrift1"/>
        <w:spacing w:before="0"/>
      </w:pPr>
      <w:r>
        <w:t>Søknad om fravær som ikke skal føres på vitnemålet</w:t>
      </w:r>
    </w:p>
    <w:p w14:paraId="39DEB8C3" w14:textId="77777777" w:rsidR="00917216" w:rsidRDefault="00000000">
      <w:pPr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Søknadsfrist: 1. juni</w:t>
      </w:r>
    </w:p>
    <w:p w14:paraId="3062D7CC" w14:textId="77777777" w:rsidR="00917216" w:rsidRDefault="00000000">
      <w:pPr>
        <w:rPr>
          <w:sz w:val="21"/>
          <w:szCs w:val="21"/>
        </w:rPr>
      </w:pPr>
      <w:r>
        <w:rPr>
          <w:sz w:val="23"/>
          <w:szCs w:val="23"/>
        </w:rPr>
        <w:t xml:space="preserve">Gjesdal ungdomsskole viser til Opplæringslova § 3-38. </w:t>
      </w:r>
      <w:r>
        <w:rPr>
          <w:sz w:val="21"/>
          <w:szCs w:val="21"/>
        </w:rPr>
        <w:t>(Se hele lovteksten på side 2 av dette skjemaet)</w:t>
      </w:r>
    </w:p>
    <w:p w14:paraId="5AFD8779" w14:textId="77777777" w:rsidR="00917216" w:rsidRDefault="00000000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I hovedsak er det følgende regler som gjelder:</w:t>
      </w:r>
    </w:p>
    <w:p w14:paraId="4B43090B" w14:textId="77777777" w:rsidR="00917216" w:rsidRDefault="00000000">
      <w:pPr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Eleven eller foreldrene kan kreve at inntil 10 skoledager fravær per skoleår ikke skal føres på vitnemålet. </w:t>
      </w:r>
    </w:p>
    <w:p w14:paraId="65BECDE6" w14:textId="77777777" w:rsidR="00917216" w:rsidRDefault="00000000">
      <w:pPr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Det er bare hele dager som kan strykes, ikke enkelttimer. </w:t>
      </w:r>
    </w:p>
    <w:p w14:paraId="63EDE7C4" w14:textId="77777777" w:rsidR="00917216" w:rsidRDefault="00000000">
      <w:pPr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Eleven kan kreve at skolen legger ved en begrunnelse på fraværet til vitnemål. </w:t>
      </w:r>
    </w:p>
    <w:p w14:paraId="38E123AB" w14:textId="77777777" w:rsidR="00917216" w:rsidRDefault="00000000">
      <w:pPr>
        <w:numPr>
          <w:ilvl w:val="0"/>
          <w:numId w:val="1"/>
        </w:num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Elever kan kreve å få strøket dokumentert fravær som skyldes</w:t>
      </w:r>
    </w:p>
    <w:p w14:paraId="30222C51" w14:textId="77777777" w:rsidR="00917216" w:rsidRDefault="00000000">
      <w:pPr>
        <w:spacing w:line="240" w:lineRule="auto"/>
        <w:ind w:left="720"/>
        <w:rPr>
          <w:sz w:val="23"/>
          <w:szCs w:val="23"/>
        </w:rPr>
      </w:pPr>
      <w:r>
        <w:rPr>
          <w:sz w:val="23"/>
          <w:szCs w:val="23"/>
        </w:rPr>
        <w:t>a.  helsegrunner etter tredje dag - legeerklæring legges ved</w:t>
      </w:r>
    </w:p>
    <w:p w14:paraId="2A0AE70F" w14:textId="77777777" w:rsidR="00917216" w:rsidRDefault="00000000">
      <w:pPr>
        <w:spacing w:line="240" w:lineRule="auto"/>
        <w:ind w:left="720"/>
        <w:rPr>
          <w:sz w:val="23"/>
          <w:szCs w:val="23"/>
        </w:rPr>
      </w:pPr>
      <w:r>
        <w:rPr>
          <w:sz w:val="23"/>
          <w:szCs w:val="23"/>
        </w:rPr>
        <w:t>b. kronisk sykdom eller funksjonshemming fra første dag - legeerklæring legges ved</w:t>
      </w:r>
    </w:p>
    <w:p w14:paraId="7F4EF6CC" w14:textId="77777777" w:rsidR="00917216" w:rsidRDefault="00000000">
      <w:pPr>
        <w:spacing w:line="240" w:lineRule="auto"/>
        <w:ind w:left="720"/>
        <w:rPr>
          <w:sz w:val="23"/>
          <w:szCs w:val="23"/>
        </w:rPr>
      </w:pPr>
      <w:r>
        <w:rPr>
          <w:sz w:val="23"/>
          <w:szCs w:val="23"/>
        </w:rPr>
        <w:t>c. innvilget permisjon fra første dag</w:t>
      </w:r>
    </w:p>
    <w:p w14:paraId="135EF3D6" w14:textId="77777777" w:rsidR="00917216" w:rsidRDefault="00917216">
      <w:pPr>
        <w:spacing w:line="240" w:lineRule="auto"/>
        <w:ind w:left="720"/>
        <w:rPr>
          <w:sz w:val="21"/>
          <w:szCs w:val="21"/>
        </w:rPr>
      </w:pPr>
    </w:p>
    <w:p w14:paraId="3CBD18CE" w14:textId="77777777" w:rsidR="00917216" w:rsidRDefault="00000000">
      <w:pPr>
        <w:spacing w:after="0"/>
        <w:rPr>
          <w:i/>
          <w:sz w:val="23"/>
          <w:szCs w:val="23"/>
        </w:rPr>
      </w:pPr>
      <w:r>
        <w:rPr>
          <w:b/>
          <w:i/>
          <w:sz w:val="23"/>
          <w:szCs w:val="23"/>
        </w:rPr>
        <w:t>Søknaden gjelder:</w:t>
      </w:r>
    </w:p>
    <w:tbl>
      <w:tblPr>
        <w:tblStyle w:val="a"/>
        <w:tblW w:w="97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0"/>
        <w:gridCol w:w="1515"/>
        <w:gridCol w:w="4320"/>
      </w:tblGrid>
      <w:tr w:rsidR="00917216" w14:paraId="03232669" w14:textId="77777777">
        <w:trPr>
          <w:trHeight w:val="705"/>
        </w:trPr>
        <w:tc>
          <w:tcPr>
            <w:tcW w:w="3900" w:type="dxa"/>
            <w:vAlign w:val="bottom"/>
          </w:tcPr>
          <w:p w14:paraId="3D6D7C4A" w14:textId="77777777" w:rsidR="00917216" w:rsidRDefault="00000000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Elevnavn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1515" w:type="dxa"/>
            <w:vAlign w:val="bottom"/>
          </w:tcPr>
          <w:p w14:paraId="2C45FA7A" w14:textId="77777777" w:rsidR="00917216" w:rsidRDefault="00000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Klasse:</w:t>
            </w:r>
          </w:p>
        </w:tc>
        <w:tc>
          <w:tcPr>
            <w:tcW w:w="4320" w:type="dxa"/>
            <w:vAlign w:val="bottom"/>
          </w:tcPr>
          <w:p w14:paraId="13A6DAC3" w14:textId="77777777" w:rsidR="00917216" w:rsidRDefault="000000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Kontaktlærer:</w:t>
            </w:r>
          </w:p>
        </w:tc>
      </w:tr>
    </w:tbl>
    <w:p w14:paraId="76854D21" w14:textId="77777777" w:rsidR="00917216" w:rsidRDefault="00917216">
      <w:pPr>
        <w:rPr>
          <w:sz w:val="21"/>
          <w:szCs w:val="21"/>
        </w:rPr>
      </w:pPr>
    </w:p>
    <w:p w14:paraId="72ECD3AA" w14:textId="77777777" w:rsidR="00917216" w:rsidRDefault="00000000">
      <w:pPr>
        <w:spacing w:after="0"/>
        <w:rPr>
          <w:sz w:val="21"/>
          <w:szCs w:val="21"/>
        </w:rPr>
      </w:pPr>
      <w:r>
        <w:rPr>
          <w:sz w:val="21"/>
          <w:szCs w:val="21"/>
        </w:rPr>
        <w:t>Vi ber om at fravær for følgende dager ikke blir ført på vitnemål: (List opp datoer. NB! Enkelttimer kan ikke strykes))</w:t>
      </w:r>
    </w:p>
    <w:tbl>
      <w:tblPr>
        <w:tblStyle w:val="a0"/>
        <w:tblW w:w="94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5"/>
      </w:tblGrid>
      <w:tr w:rsidR="00917216" w14:paraId="37EAAB87" w14:textId="77777777">
        <w:tc>
          <w:tcPr>
            <w:tcW w:w="9495" w:type="dxa"/>
          </w:tcPr>
          <w:p w14:paraId="02810817" w14:textId="77777777" w:rsidR="00917216" w:rsidRDefault="00917216">
            <w:pPr>
              <w:rPr>
                <w:sz w:val="21"/>
                <w:szCs w:val="21"/>
              </w:rPr>
            </w:pPr>
          </w:p>
          <w:p w14:paraId="2B1FFA0D" w14:textId="77777777" w:rsidR="00917216" w:rsidRDefault="00917216">
            <w:pPr>
              <w:rPr>
                <w:sz w:val="21"/>
                <w:szCs w:val="21"/>
              </w:rPr>
            </w:pPr>
          </w:p>
          <w:p w14:paraId="04C89833" w14:textId="77777777" w:rsidR="00917216" w:rsidRDefault="00917216">
            <w:pPr>
              <w:rPr>
                <w:sz w:val="21"/>
                <w:szCs w:val="21"/>
              </w:rPr>
            </w:pPr>
          </w:p>
          <w:p w14:paraId="1E838DFB" w14:textId="77777777" w:rsidR="00917216" w:rsidRDefault="00917216">
            <w:pPr>
              <w:rPr>
                <w:sz w:val="21"/>
                <w:szCs w:val="21"/>
              </w:rPr>
            </w:pPr>
          </w:p>
        </w:tc>
      </w:tr>
    </w:tbl>
    <w:p w14:paraId="40C32F9D" w14:textId="77777777" w:rsidR="00917216" w:rsidRDefault="00917216">
      <w:pPr>
        <w:spacing w:after="0"/>
        <w:rPr>
          <w:sz w:val="21"/>
          <w:szCs w:val="21"/>
        </w:rPr>
      </w:pPr>
    </w:p>
    <w:p w14:paraId="1B065E26" w14:textId="77777777" w:rsidR="00917216" w:rsidRDefault="00000000">
      <w:pPr>
        <w:spacing w:after="0"/>
        <w:rPr>
          <w:sz w:val="21"/>
          <w:szCs w:val="21"/>
        </w:rPr>
      </w:pPr>
      <w:r>
        <w:rPr>
          <w:sz w:val="21"/>
          <w:szCs w:val="21"/>
        </w:rPr>
        <w:t>Begrunnelse/dokumentasjon:</w:t>
      </w:r>
    </w:p>
    <w:tbl>
      <w:tblPr>
        <w:tblStyle w:val="a1"/>
        <w:tblW w:w="94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5843"/>
      </w:tblGrid>
      <w:tr w:rsidR="00917216" w14:paraId="3DD5F083" w14:textId="77777777">
        <w:tc>
          <w:tcPr>
            <w:tcW w:w="9495" w:type="dxa"/>
            <w:gridSpan w:val="2"/>
            <w:tcBorders>
              <w:bottom w:val="single" w:sz="4" w:space="0" w:color="000000"/>
            </w:tcBorders>
          </w:tcPr>
          <w:p w14:paraId="5E568F8D" w14:textId="77777777" w:rsidR="00917216" w:rsidRDefault="00917216">
            <w:pPr>
              <w:rPr>
                <w:sz w:val="21"/>
                <w:szCs w:val="21"/>
              </w:rPr>
            </w:pPr>
          </w:p>
          <w:p w14:paraId="39CDF375" w14:textId="77777777" w:rsidR="00917216" w:rsidRDefault="00917216">
            <w:pPr>
              <w:rPr>
                <w:sz w:val="21"/>
                <w:szCs w:val="21"/>
              </w:rPr>
            </w:pPr>
          </w:p>
          <w:p w14:paraId="2D01A42D" w14:textId="77777777" w:rsidR="00917216" w:rsidRDefault="00917216">
            <w:pPr>
              <w:rPr>
                <w:sz w:val="21"/>
                <w:szCs w:val="21"/>
              </w:rPr>
            </w:pPr>
          </w:p>
          <w:p w14:paraId="33040F91" w14:textId="77777777" w:rsidR="00917216" w:rsidRDefault="00917216">
            <w:pPr>
              <w:rPr>
                <w:sz w:val="21"/>
                <w:szCs w:val="21"/>
              </w:rPr>
            </w:pPr>
          </w:p>
        </w:tc>
      </w:tr>
      <w:tr w:rsidR="00917216" w14:paraId="2E8252EE" w14:textId="77777777">
        <w:trPr>
          <w:trHeight w:val="440"/>
        </w:trPr>
        <w:tc>
          <w:tcPr>
            <w:tcW w:w="3652" w:type="dxa"/>
            <w:tcBorders>
              <w:top w:val="single" w:sz="4" w:space="0" w:color="000000"/>
            </w:tcBorders>
            <w:vAlign w:val="bottom"/>
          </w:tcPr>
          <w:p w14:paraId="5378AC54" w14:textId="77777777" w:rsidR="00917216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Sted/dato:</w:t>
            </w:r>
          </w:p>
        </w:tc>
        <w:tc>
          <w:tcPr>
            <w:tcW w:w="5843" w:type="dxa"/>
            <w:tcBorders>
              <w:top w:val="single" w:sz="4" w:space="0" w:color="000000"/>
            </w:tcBorders>
            <w:vAlign w:val="bottom"/>
          </w:tcPr>
          <w:p w14:paraId="5777EB14" w14:textId="77777777" w:rsidR="00917216" w:rsidRDefault="000000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Foresattes underskrift:</w:t>
            </w:r>
          </w:p>
        </w:tc>
      </w:tr>
    </w:tbl>
    <w:p w14:paraId="58B4472E" w14:textId="77777777" w:rsidR="00917216" w:rsidRDefault="00917216">
      <w:pPr>
        <w:rPr>
          <w:b/>
          <w:i/>
          <w:sz w:val="21"/>
          <w:szCs w:val="21"/>
        </w:rPr>
      </w:pPr>
    </w:p>
    <w:p w14:paraId="171B9DEF" w14:textId="77777777" w:rsidR="00917216" w:rsidRDefault="00917216">
      <w:pPr>
        <w:rPr>
          <w:b/>
          <w:i/>
          <w:sz w:val="21"/>
          <w:szCs w:val="21"/>
        </w:rPr>
      </w:pPr>
    </w:p>
    <w:p w14:paraId="198694B8" w14:textId="77777777" w:rsidR="00917216" w:rsidRDefault="00917216">
      <w:pPr>
        <w:rPr>
          <w:b/>
          <w:i/>
          <w:sz w:val="21"/>
          <w:szCs w:val="21"/>
        </w:rPr>
      </w:pPr>
    </w:p>
    <w:p w14:paraId="5B0427D7" w14:textId="77777777" w:rsidR="00917216" w:rsidRDefault="00917216">
      <w:pPr>
        <w:rPr>
          <w:b/>
          <w:i/>
          <w:sz w:val="23"/>
          <w:szCs w:val="23"/>
        </w:rPr>
      </w:pPr>
    </w:p>
    <w:p w14:paraId="49794A82" w14:textId="77777777" w:rsidR="00917216" w:rsidRDefault="00917216">
      <w:pPr>
        <w:rPr>
          <w:b/>
          <w:i/>
          <w:sz w:val="23"/>
          <w:szCs w:val="23"/>
        </w:rPr>
      </w:pPr>
    </w:p>
    <w:p w14:paraId="4D2C2A2D" w14:textId="77777777" w:rsidR="00917216" w:rsidRDefault="00000000">
      <w:pPr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 xml:space="preserve">Skolens svar: </w:t>
      </w:r>
      <w:r>
        <w:rPr>
          <w:b/>
          <w:i/>
          <w:sz w:val="23"/>
          <w:szCs w:val="23"/>
        </w:rPr>
        <w:tab/>
      </w:r>
    </w:p>
    <w:p w14:paraId="325AEF18" w14:textId="77777777" w:rsidR="00917216" w:rsidRDefault="00000000">
      <w:pPr>
        <w:jc w:val="both"/>
        <w:rPr>
          <w:sz w:val="21"/>
          <w:szCs w:val="21"/>
        </w:rPr>
      </w:pPr>
      <w:r>
        <w:rPr>
          <w:rFonts w:ascii="Wingdings" w:eastAsia="Wingdings" w:hAnsi="Wingdings" w:cs="Wingdings"/>
          <w:sz w:val="21"/>
          <w:szCs w:val="21"/>
        </w:rPr>
        <w:t>□</w:t>
      </w:r>
      <w:r>
        <w:rPr>
          <w:sz w:val="21"/>
          <w:szCs w:val="21"/>
        </w:rPr>
        <w:t xml:space="preserve"> Søknaden er innvilget</w:t>
      </w:r>
      <w:r>
        <w:rPr>
          <w:sz w:val="21"/>
          <w:szCs w:val="21"/>
        </w:rPr>
        <w:tab/>
        <w:t xml:space="preserve">     </w:t>
      </w:r>
      <w:r>
        <w:rPr>
          <w:rFonts w:ascii="Wingdings" w:eastAsia="Wingdings" w:hAnsi="Wingdings" w:cs="Wingdings"/>
          <w:sz w:val="21"/>
          <w:szCs w:val="21"/>
        </w:rPr>
        <w:t>□</w:t>
      </w:r>
      <w:r>
        <w:rPr>
          <w:sz w:val="21"/>
          <w:szCs w:val="21"/>
        </w:rPr>
        <w:t xml:space="preserve"> Søknaden er ikke innvilget:  </w:t>
      </w:r>
    </w:p>
    <w:tbl>
      <w:tblPr>
        <w:tblStyle w:val="a2"/>
        <w:tblW w:w="942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917216" w14:paraId="619477D5" w14:textId="77777777">
        <w:tc>
          <w:tcPr>
            <w:tcW w:w="9426" w:type="dxa"/>
          </w:tcPr>
          <w:p w14:paraId="65933107" w14:textId="77777777" w:rsidR="00917216" w:rsidRDefault="0000000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Begrunnelse for evt. avslag:</w:t>
            </w:r>
          </w:p>
          <w:p w14:paraId="5ACCB40E" w14:textId="77777777" w:rsidR="00917216" w:rsidRDefault="00917216">
            <w:pPr>
              <w:jc w:val="both"/>
              <w:rPr>
                <w:sz w:val="21"/>
                <w:szCs w:val="21"/>
              </w:rPr>
            </w:pPr>
          </w:p>
          <w:p w14:paraId="7A24671B" w14:textId="77777777" w:rsidR="00917216" w:rsidRDefault="00917216">
            <w:pPr>
              <w:jc w:val="both"/>
              <w:rPr>
                <w:sz w:val="21"/>
                <w:szCs w:val="21"/>
              </w:rPr>
            </w:pPr>
          </w:p>
        </w:tc>
      </w:tr>
    </w:tbl>
    <w:p w14:paraId="17C61E7E" w14:textId="77777777" w:rsidR="00917216" w:rsidRDefault="00917216">
      <w:pPr>
        <w:rPr>
          <w:sz w:val="21"/>
          <w:szCs w:val="21"/>
        </w:rPr>
      </w:pPr>
    </w:p>
    <w:p w14:paraId="268C81C5" w14:textId="77777777" w:rsidR="00917216" w:rsidRDefault="00917216">
      <w:pPr>
        <w:rPr>
          <w:sz w:val="21"/>
          <w:szCs w:val="21"/>
        </w:rPr>
      </w:pPr>
    </w:p>
    <w:p w14:paraId="775B2CAB" w14:textId="77777777" w:rsidR="00917216" w:rsidRDefault="00000000">
      <w:pPr>
        <w:pBdr>
          <w:top w:val="single" w:sz="4" w:space="1" w:color="000000"/>
        </w:pBdr>
        <w:rPr>
          <w:sz w:val="21"/>
          <w:szCs w:val="21"/>
        </w:rPr>
      </w:pPr>
      <w:r>
        <w:rPr>
          <w:sz w:val="21"/>
          <w:szCs w:val="21"/>
        </w:rPr>
        <w:t>Sted/dato</w:t>
      </w:r>
      <w:r>
        <w:rPr>
          <w:sz w:val="21"/>
          <w:szCs w:val="21"/>
        </w:rPr>
        <w:tab/>
        <w:t>Nina Nygård Magnussen, rektor</w:t>
      </w:r>
    </w:p>
    <w:p w14:paraId="7FCD8E9C" w14:textId="77777777" w:rsidR="00917216" w:rsidRDefault="00917216">
      <w:pPr>
        <w:pBdr>
          <w:top w:val="single" w:sz="4" w:space="1" w:color="000000"/>
        </w:pBdr>
        <w:rPr>
          <w:sz w:val="21"/>
          <w:szCs w:val="21"/>
        </w:rPr>
      </w:pPr>
    </w:p>
    <w:p w14:paraId="0BE4E57F" w14:textId="77777777" w:rsidR="00917216" w:rsidRDefault="00917216">
      <w:pPr>
        <w:pBdr>
          <w:top w:val="single" w:sz="4" w:space="1" w:color="000000"/>
        </w:pBdr>
        <w:rPr>
          <w:sz w:val="21"/>
          <w:szCs w:val="21"/>
        </w:rPr>
      </w:pPr>
    </w:p>
    <w:p w14:paraId="6744DF20" w14:textId="77777777" w:rsidR="00917216" w:rsidRDefault="00917216">
      <w:pPr>
        <w:pBdr>
          <w:top w:val="single" w:sz="4" w:space="1" w:color="000000"/>
        </w:pBdr>
        <w:rPr>
          <w:sz w:val="21"/>
          <w:szCs w:val="21"/>
        </w:rPr>
      </w:pPr>
    </w:p>
    <w:p w14:paraId="5830ABFC" w14:textId="77777777" w:rsidR="00917216" w:rsidRDefault="00000000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Opplæringslova</w:t>
      </w:r>
      <w:proofErr w:type="spellEnd"/>
      <w:r>
        <w:rPr>
          <w:sz w:val="23"/>
          <w:szCs w:val="23"/>
        </w:rPr>
        <w:t xml:space="preserve"> § 3-38. </w:t>
      </w:r>
    </w:p>
    <w:p w14:paraId="5E42C8D3" w14:textId="77777777" w:rsidR="00917216" w:rsidRDefault="00000000">
      <w:pPr>
        <w:shd w:val="clear" w:color="auto" w:fill="FFFFFF"/>
        <w:spacing w:before="220" w:after="0" w:line="240" w:lineRule="auto"/>
        <w:ind w:firstLine="380"/>
        <w:rPr>
          <w:rFonts w:ascii="Arial" w:eastAsia="Arial" w:hAnsi="Arial" w:cs="Arial"/>
          <w:color w:val="333333"/>
          <w:sz w:val="17"/>
          <w:szCs w:val="17"/>
        </w:rPr>
      </w:pPr>
      <w:r>
        <w:rPr>
          <w:rFonts w:ascii="Arial" w:eastAsia="Arial" w:hAnsi="Arial" w:cs="Arial"/>
          <w:color w:val="333333"/>
          <w:sz w:val="17"/>
          <w:szCs w:val="17"/>
        </w:rPr>
        <w:t>“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Frå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og med 8.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årstrinnet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skal alt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fråvær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førast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på vitnemålet.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Fråvær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skal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førast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i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dagar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og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enkelttimar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.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Enkelttimar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kan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ikkje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konverterast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til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dagar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>.</w:t>
      </w:r>
    </w:p>
    <w:p w14:paraId="431F1E2B" w14:textId="77777777" w:rsidR="00917216" w:rsidRDefault="00000000">
      <w:pPr>
        <w:shd w:val="clear" w:color="auto" w:fill="FFFFFF"/>
        <w:spacing w:before="220" w:after="0" w:line="240" w:lineRule="auto"/>
        <w:ind w:firstLine="380"/>
        <w:rPr>
          <w:rFonts w:ascii="Arial" w:eastAsia="Arial" w:hAnsi="Arial" w:cs="Arial"/>
          <w:color w:val="333333"/>
          <w:sz w:val="17"/>
          <w:szCs w:val="17"/>
        </w:rPr>
      </w:pPr>
      <w:r>
        <w:rPr>
          <w:rFonts w:ascii="Arial" w:eastAsia="Arial" w:hAnsi="Arial" w:cs="Arial"/>
          <w:color w:val="333333"/>
          <w:sz w:val="17"/>
          <w:szCs w:val="17"/>
        </w:rPr>
        <w:t xml:space="preserve">Eleven eller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foreldra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kan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krevje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at årsaka til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fråværet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blir ført på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eit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vedlegg til vitnemålet. Dette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gjeld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berre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når eleven har lagt fram dokumentasjon på årsaka til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fråværet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>.</w:t>
      </w:r>
    </w:p>
    <w:p w14:paraId="1BD53775" w14:textId="77777777" w:rsidR="00917216" w:rsidRDefault="00000000">
      <w:pPr>
        <w:shd w:val="clear" w:color="auto" w:fill="FFFFFF"/>
        <w:spacing w:before="220" w:after="0" w:line="240" w:lineRule="auto"/>
        <w:ind w:firstLine="380"/>
        <w:rPr>
          <w:rFonts w:ascii="Arial" w:eastAsia="Arial" w:hAnsi="Arial" w:cs="Arial"/>
          <w:color w:val="333333"/>
          <w:sz w:val="17"/>
          <w:szCs w:val="17"/>
        </w:rPr>
      </w:pPr>
      <w:r>
        <w:rPr>
          <w:rFonts w:ascii="Arial" w:eastAsia="Arial" w:hAnsi="Arial" w:cs="Arial"/>
          <w:color w:val="333333"/>
          <w:sz w:val="17"/>
          <w:szCs w:val="17"/>
        </w:rPr>
        <w:t xml:space="preserve">Dersom det er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mogleg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, skal eleven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leggje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fram dokumentasjon av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fråværet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frå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opplæringa på førehand.</w:t>
      </w:r>
    </w:p>
    <w:p w14:paraId="5DBD4331" w14:textId="77777777" w:rsidR="00917216" w:rsidRDefault="00000000">
      <w:pPr>
        <w:shd w:val="clear" w:color="auto" w:fill="FFFFFF"/>
        <w:spacing w:before="220" w:after="0" w:line="240" w:lineRule="auto"/>
        <w:ind w:firstLine="380"/>
        <w:rPr>
          <w:rFonts w:ascii="Arial" w:eastAsia="Arial" w:hAnsi="Arial" w:cs="Arial"/>
          <w:color w:val="333333"/>
          <w:sz w:val="17"/>
          <w:szCs w:val="17"/>
        </w:rPr>
      </w:pPr>
      <w:r>
        <w:rPr>
          <w:rFonts w:ascii="Arial" w:eastAsia="Arial" w:hAnsi="Arial" w:cs="Arial"/>
          <w:color w:val="333333"/>
          <w:sz w:val="17"/>
          <w:szCs w:val="17"/>
        </w:rPr>
        <w:t xml:space="preserve">For inntil 10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skoledagar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i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eit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opplæringsår, kan eleven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krevje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at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følgjande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fråvær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ikkje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blir ført på vitnemålet:</w:t>
      </w:r>
    </w:p>
    <w:tbl>
      <w:tblPr>
        <w:tblStyle w:val="a3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8235"/>
      </w:tblGrid>
      <w:tr w:rsidR="00917216" w14:paraId="2C4B778E" w14:textId="7777777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C797C7" w14:textId="77777777" w:rsidR="00917216" w:rsidRDefault="00000000">
            <w:pPr>
              <w:spacing w:after="0" w:line="240" w:lineRule="auto"/>
              <w:jc w:val="right"/>
              <w:rPr>
                <w:rFonts w:ascii="Arial" w:eastAsia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a.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167320" w14:textId="77777777" w:rsidR="00917216" w:rsidRDefault="00000000">
            <w:pPr>
              <w:spacing w:after="0" w:line="240" w:lineRule="auto"/>
              <w:rPr>
                <w:rFonts w:ascii="Arial" w:eastAsia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 xml:space="preserve">dokumentert </w:t>
            </w:r>
            <w:proofErr w:type="spellStart"/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fråvær</w:t>
            </w:r>
            <w:proofErr w:type="spellEnd"/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 xml:space="preserve"> som </w:t>
            </w:r>
            <w:proofErr w:type="spellStart"/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skyldast</w:t>
            </w:r>
            <w:proofErr w:type="spellEnd"/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helsegrunnar</w:t>
            </w:r>
            <w:proofErr w:type="spellEnd"/>
          </w:p>
        </w:tc>
      </w:tr>
    </w:tbl>
    <w:p w14:paraId="66364FC3" w14:textId="77777777" w:rsidR="00917216" w:rsidRDefault="00917216">
      <w:pPr>
        <w:spacing w:line="240" w:lineRule="auto"/>
        <w:rPr>
          <w:rFonts w:ascii="Arial" w:eastAsia="Arial" w:hAnsi="Arial" w:cs="Arial"/>
          <w:color w:val="333333"/>
          <w:sz w:val="17"/>
          <w:szCs w:val="17"/>
        </w:rPr>
      </w:pPr>
    </w:p>
    <w:tbl>
      <w:tblPr>
        <w:tblStyle w:val="a4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8235"/>
      </w:tblGrid>
      <w:tr w:rsidR="00917216" w14:paraId="69E83F76" w14:textId="77777777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9EC920" w14:textId="77777777" w:rsidR="00917216" w:rsidRDefault="00000000">
            <w:pPr>
              <w:spacing w:after="0" w:line="240" w:lineRule="auto"/>
              <w:jc w:val="right"/>
              <w:rPr>
                <w:rFonts w:ascii="Arial" w:eastAsia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b.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96AFF0" w14:textId="77777777" w:rsidR="00917216" w:rsidRDefault="00000000">
            <w:pPr>
              <w:spacing w:after="0" w:line="240" w:lineRule="auto"/>
              <w:rPr>
                <w:rFonts w:ascii="Arial" w:eastAsia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 xml:space="preserve">innvilga permisjon etter </w:t>
            </w:r>
            <w:hyperlink r:id="rId7">
              <w:proofErr w:type="spellStart"/>
              <w:r>
                <w:rPr>
                  <w:rFonts w:ascii="Arial" w:eastAsia="Arial" w:hAnsi="Arial" w:cs="Arial"/>
                  <w:color w:val="DB142C"/>
                  <w:sz w:val="17"/>
                  <w:szCs w:val="17"/>
                </w:rPr>
                <w:t>opplæringslova</w:t>
              </w:r>
              <w:proofErr w:type="spellEnd"/>
              <w:r>
                <w:rPr>
                  <w:rFonts w:ascii="Arial" w:eastAsia="Arial" w:hAnsi="Arial" w:cs="Arial"/>
                  <w:color w:val="DB142C"/>
                  <w:sz w:val="17"/>
                  <w:szCs w:val="17"/>
                </w:rPr>
                <w:t xml:space="preserve"> § 2-11</w:t>
              </w:r>
            </w:hyperlink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.</w:t>
            </w:r>
          </w:p>
        </w:tc>
      </w:tr>
    </w:tbl>
    <w:p w14:paraId="0DD77155" w14:textId="77777777" w:rsidR="00917216" w:rsidRDefault="00000000">
      <w:pPr>
        <w:shd w:val="clear" w:color="auto" w:fill="FFFFFF"/>
        <w:spacing w:before="220" w:after="0" w:line="240" w:lineRule="auto"/>
        <w:ind w:firstLine="380"/>
        <w:rPr>
          <w:sz w:val="21"/>
          <w:szCs w:val="21"/>
        </w:rPr>
      </w:pPr>
      <w:r>
        <w:rPr>
          <w:rFonts w:ascii="Arial" w:eastAsia="Arial" w:hAnsi="Arial" w:cs="Arial"/>
          <w:color w:val="333333"/>
          <w:sz w:val="17"/>
          <w:szCs w:val="17"/>
        </w:rPr>
        <w:t xml:space="preserve">For at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fråvær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som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skyldast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helsegrunnar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etter bokstav a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ikkje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skal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førast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på vitnemålet, må eleven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leggje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fram ei legeerklæring som dokumenterer dette.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Fråvær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som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skyldast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helsegrunnar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må vare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meir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enn tre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dagar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, og det er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berre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fråvær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frå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og med fjerde dagen som kan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strykast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. Ved dokumentert risiko for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fråvær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etter bokstav a på grunn av funksjonshemming eller kronisk sjukdom, kan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fråvær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strykast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frå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 xml:space="preserve"> og med første </w:t>
      </w:r>
      <w:proofErr w:type="spellStart"/>
      <w:r>
        <w:rPr>
          <w:rFonts w:ascii="Arial" w:eastAsia="Arial" w:hAnsi="Arial" w:cs="Arial"/>
          <w:color w:val="333333"/>
          <w:sz w:val="17"/>
          <w:szCs w:val="17"/>
        </w:rPr>
        <w:t>fråværsdag</w:t>
      </w:r>
      <w:proofErr w:type="spellEnd"/>
      <w:r>
        <w:rPr>
          <w:rFonts w:ascii="Arial" w:eastAsia="Arial" w:hAnsi="Arial" w:cs="Arial"/>
          <w:color w:val="333333"/>
          <w:sz w:val="17"/>
          <w:szCs w:val="17"/>
        </w:rPr>
        <w:t>.”</w:t>
      </w:r>
    </w:p>
    <w:p w14:paraId="1D237DBB" w14:textId="77777777" w:rsidR="00917216" w:rsidRDefault="00917216">
      <w:pPr>
        <w:pBdr>
          <w:top w:val="single" w:sz="4" w:space="1" w:color="000000"/>
        </w:pBdr>
        <w:rPr>
          <w:sz w:val="21"/>
          <w:szCs w:val="21"/>
        </w:rPr>
      </w:pPr>
    </w:p>
    <w:sectPr w:rsidR="00917216">
      <w:footerReference w:type="default" r:id="rId8"/>
      <w:headerReference w:type="first" r:id="rId9"/>
      <w:footerReference w:type="first" r:id="rId10"/>
      <w:pgSz w:w="11907" w:h="16840"/>
      <w:pgMar w:top="0" w:right="1134" w:bottom="1418" w:left="1418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0F88" w14:textId="77777777" w:rsidR="00B43865" w:rsidRDefault="00B43865">
      <w:pPr>
        <w:spacing w:after="0" w:line="240" w:lineRule="auto"/>
      </w:pPr>
      <w:r>
        <w:separator/>
      </w:r>
    </w:p>
  </w:endnote>
  <w:endnote w:type="continuationSeparator" w:id="0">
    <w:p w14:paraId="5E368C45" w14:textId="77777777" w:rsidR="00B43865" w:rsidRDefault="00B4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F0BE" w14:textId="77777777" w:rsidR="00917216" w:rsidRDefault="00000000">
    <w:pPr>
      <w:pBdr>
        <w:top w:val="nil"/>
        <w:left w:val="nil"/>
        <w:bottom w:val="nil"/>
        <w:right w:val="nil"/>
        <w:between w:val="nil"/>
      </w:pBdr>
      <w:spacing w:after="548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Side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70423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av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D70423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0146" w14:textId="77777777" w:rsidR="00917216" w:rsidRDefault="00917216">
    <w:pPr>
      <w:keepLines/>
      <w:pBdr>
        <w:top w:val="none" w:sz="0" w:space="0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548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A6FD3" w14:textId="77777777" w:rsidR="00B43865" w:rsidRDefault="00B43865">
      <w:pPr>
        <w:spacing w:after="0" w:line="240" w:lineRule="auto"/>
      </w:pPr>
      <w:r>
        <w:separator/>
      </w:r>
    </w:p>
  </w:footnote>
  <w:footnote w:type="continuationSeparator" w:id="0">
    <w:p w14:paraId="737DD5EF" w14:textId="77777777" w:rsidR="00B43865" w:rsidRDefault="00B4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5EC6" w14:textId="77777777" w:rsidR="00917216" w:rsidRDefault="00000000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284" w:after="600"/>
      <w:ind w:left="-1134" w:right="-1135"/>
      <w:jc w:val="center"/>
      <w:rPr>
        <w:smallCaps/>
        <w:color w:val="000000"/>
        <w:sz w:val="18"/>
        <w:szCs w:val="18"/>
      </w:rPr>
    </w:pPr>
    <w:r>
      <w:rPr>
        <w:smallCaps/>
        <w:noProof/>
        <w:color w:val="000000"/>
        <w:sz w:val="18"/>
        <w:szCs w:val="18"/>
      </w:rPr>
      <w:drawing>
        <wp:inline distT="0" distB="0" distL="0" distR="0" wp14:anchorId="619786F5" wp14:editId="0D215BEB">
          <wp:extent cx="6562725" cy="1371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4913" b="3343"/>
                  <a:stretch>
                    <a:fillRect/>
                  </a:stretch>
                </pic:blipFill>
                <pic:spPr>
                  <a:xfrm>
                    <a:off x="0" y="0"/>
                    <a:ext cx="6562725" cy="137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34E45"/>
    <w:multiLevelType w:val="multilevel"/>
    <w:tmpl w:val="D292B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2295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16"/>
    <w:rsid w:val="00917216"/>
    <w:rsid w:val="00B43865"/>
    <w:rsid w:val="00D7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DA0B"/>
  <w15:docId w15:val="{948500F6-C829-4AA2-8E41-BFE603F8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vdata.no/lov/1998-07-17-61/%C2%A72-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Niemi</dc:creator>
  <cp:lastModifiedBy>Trond Niemi</cp:lastModifiedBy>
  <cp:revision>2</cp:revision>
  <dcterms:created xsi:type="dcterms:W3CDTF">2023-05-04T10:16:00Z</dcterms:created>
  <dcterms:modified xsi:type="dcterms:W3CDTF">2023-05-04T10:16:00Z</dcterms:modified>
</cp:coreProperties>
</file>